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7E51E" w14:textId="77777777" w:rsidR="001F7AFA" w:rsidRDefault="00000000">
      <w:pPr>
        <w:spacing w:after="0" w:line="300" w:lineRule="auto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FORMULARUL ZONELOR PRIORITARE PENTRU BIODIVERSITATE </w:t>
      </w:r>
    </w:p>
    <w:p w14:paraId="260D92A8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Identificarea Zonelor Prioritare pentru Biodiversitate (ZPB)</w:t>
      </w:r>
    </w:p>
    <w:p w14:paraId="71BFF9F1" w14:textId="77777777" w:rsidR="001F7AFA" w:rsidRDefault="00000000">
      <w:pPr>
        <w:spacing w:before="240" w:after="80" w:line="30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1.1. Codul ZPB*</w:t>
      </w:r>
    </w:p>
    <w:p w14:paraId="6CE47441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ROSPA0037ZPB</w:t>
      </w:r>
    </w:p>
    <w:p w14:paraId="134CDC6C" w14:textId="77777777" w:rsidR="001F7AFA" w:rsidRDefault="00000000">
      <w:pPr>
        <w:spacing w:after="0" w:line="30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*Codare temporară, aceasta va fi actualizată conform specificațiilor de raportare</w:t>
      </w:r>
    </w:p>
    <w:p w14:paraId="06B0E9FD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1.2. Denumire ZPB</w:t>
      </w:r>
    </w:p>
    <w:p w14:paraId="4C0D3EB7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Dumbrăvița - Rotbav - Măgura Codlei</w:t>
      </w:r>
    </w:p>
    <w:p w14:paraId="332BC7FA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1.3. Încadrarea ZPB în:</w:t>
      </w:r>
    </w:p>
    <w:p w14:paraId="31A37EF7" w14:textId="77777777" w:rsidR="001F7AFA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0"/>
          <w:id w:val="-1073058911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684A8599" w14:textId="77777777" w:rsidR="001F7AFA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1"/>
          <w:id w:val="783684101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OECM (Other effective area-based conservation measures)</w:t>
      </w:r>
    </w:p>
    <w:p w14:paraId="0DF41D72" w14:textId="77777777" w:rsidR="001F7AFA" w:rsidRDefault="00000000">
      <w:pPr>
        <w:spacing w:after="0" w:line="300" w:lineRule="auto"/>
        <w:rPr>
          <w:sz w:val="22"/>
          <w:szCs w:val="22"/>
        </w:rPr>
      </w:pPr>
      <w:sdt>
        <w:sdtPr>
          <w:tag w:val="goog_rdk_2"/>
          <w:id w:val="-1344310089"/>
        </w:sdtPr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1F7AFA" w14:paraId="5D03134B" w14:textId="77777777">
        <w:tc>
          <w:tcPr>
            <w:tcW w:w="4490" w:type="dxa"/>
          </w:tcPr>
          <w:p w14:paraId="691A503D" w14:textId="77777777" w:rsidR="001F7AFA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31852C59" w14:textId="77777777" w:rsidR="001F7AFA" w:rsidRDefault="00000000">
            <w:pPr>
              <w:spacing w:before="240" w:after="8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1.5. Data actualizării</w:t>
            </w:r>
          </w:p>
        </w:tc>
      </w:tr>
      <w:tr w:rsidR="001F7AFA" w14:paraId="4190DD88" w14:textId="77777777">
        <w:tc>
          <w:tcPr>
            <w:tcW w:w="4490" w:type="dxa"/>
          </w:tcPr>
          <w:p w14:paraId="5A081097" w14:textId="77777777" w:rsidR="001F7AFA" w:rsidRDefault="001F7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bCs/>
                <w:sz w:val="22"/>
                <w:szCs w:val="22"/>
              </w:rPr>
            </w:pPr>
          </w:p>
          <w:tbl>
            <w:tblPr>
              <w:tblStyle w:val="a0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7AFA" w14:paraId="13EB3F5C" w14:textId="77777777">
              <w:tc>
                <w:tcPr>
                  <w:tcW w:w="300" w:type="dxa"/>
                </w:tcPr>
                <w:p w14:paraId="027163BA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530B7524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7999C41D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B057BCE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3C6B5DA3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7DF3FAD9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1F7AFA" w14:paraId="65556499" w14:textId="77777777">
              <w:tc>
                <w:tcPr>
                  <w:tcW w:w="300" w:type="dxa"/>
                </w:tcPr>
                <w:p w14:paraId="42EA6EE2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6ACB25D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A436098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5DD73A6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BAA6545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12FBEA3A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8011DE5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90" w:type="dxa"/>
          </w:tcPr>
          <w:p w14:paraId="7DE4ABA3" w14:textId="77777777" w:rsidR="001F7AFA" w:rsidRDefault="001F7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1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7AFA" w14:paraId="4732487D" w14:textId="77777777">
              <w:tc>
                <w:tcPr>
                  <w:tcW w:w="300" w:type="dxa"/>
                </w:tcPr>
                <w:p w14:paraId="48997710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42797B8D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4985A8CA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7A91BAF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1D97DB4C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65C4BA77" w14:textId="77777777" w:rsidR="001F7AFA" w:rsidRDefault="001F7AF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1F7AFA" w14:paraId="2533F146" w14:textId="77777777">
              <w:tc>
                <w:tcPr>
                  <w:tcW w:w="300" w:type="dxa"/>
                </w:tcPr>
                <w:p w14:paraId="6F13B468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1FCE12E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D579507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63FCF5E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A734A67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33FA524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54BBBEBB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6D8F7CD3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1.6. Responsabili - Nume/Organizație:</w:t>
      </w:r>
    </w:p>
    <w:p w14:paraId="34B4A35D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10EBF23E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1.7. Datele indicării și desemnării ca ZPB</w:t>
      </w:r>
    </w:p>
    <w:tbl>
      <w:tblPr>
        <w:tblStyle w:val="a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1F7AFA" w14:paraId="2D561B7C" w14:textId="77777777">
        <w:tc>
          <w:tcPr>
            <w:tcW w:w="4455" w:type="dxa"/>
          </w:tcPr>
          <w:p w14:paraId="46B8E4A1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3E27BF7E" w14:textId="77777777" w:rsidR="001F7AFA" w:rsidRDefault="001F7A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3"/>
              <w:tblW w:w="1800" w:type="dxa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1F7AFA" w14:paraId="4BC04786" w14:textId="77777777">
              <w:tc>
                <w:tcPr>
                  <w:tcW w:w="300" w:type="dxa"/>
                </w:tcPr>
                <w:p w14:paraId="15EA17C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09FAA7A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85BDB19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6F0FA38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35BBE94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04F1CFDF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1F7AFA" w14:paraId="2E3798E3" w14:textId="77777777">
              <w:tc>
                <w:tcPr>
                  <w:tcW w:w="300" w:type="dxa"/>
                </w:tcPr>
                <w:p w14:paraId="2A84AB49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EABCD90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FF9D012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0DB03CAD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D146F2C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53F9B8E9" w14:textId="77777777" w:rsidR="001F7AFA" w:rsidRDefault="0000000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25F118EE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5B69204A" w14:textId="77777777" w:rsidR="001F7AFA" w:rsidRDefault="00000000">
      <w:pPr>
        <w:spacing w:before="120" w:after="0" w:line="300" w:lineRule="auto"/>
        <w:rPr>
          <w:sz w:val="22"/>
          <w:szCs w:val="22"/>
        </w:rPr>
      </w:pPr>
      <w:r>
        <w:rPr>
          <w:sz w:val="22"/>
          <w:szCs w:val="22"/>
        </w:rPr>
        <w:t>Referința legală națională a desemnării ZPB:</w:t>
      </w:r>
    </w:p>
    <w:p w14:paraId="6B089238" w14:textId="77777777" w:rsidR="001F7AFA" w:rsidRDefault="001F7AFA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</w:p>
    <w:p w14:paraId="42DE584B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Localizarea Zonelor Prioritare pentru Biodiversitate (ZPB)</w:t>
      </w:r>
    </w:p>
    <w:p w14:paraId="66EE0917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2.1. Suprafața totală a ZPB (ha)</w:t>
      </w:r>
    </w:p>
    <w:p w14:paraId="54DF9B02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265,82</w:t>
      </w:r>
    </w:p>
    <w:p w14:paraId="214A8BE5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2.2. Procentul ocupat de ZPB din suprafața totală a ariei naturale protejate/OECM</w:t>
      </w:r>
    </w:p>
    <w:p w14:paraId="43E5A6CF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5,99%</w:t>
      </w:r>
    </w:p>
    <w:p w14:paraId="5C3D2C23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2.3. Încadrarea ZPB în regiunile administrative</w:t>
      </w:r>
    </w:p>
    <w:tbl>
      <w:tblPr>
        <w:tblStyle w:val="a4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1F7AFA" w14:paraId="521B016F" w14:textId="77777777">
        <w:tc>
          <w:tcPr>
            <w:tcW w:w="3157" w:type="dxa"/>
          </w:tcPr>
          <w:p w14:paraId="31D32BDC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0D46550A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5E392A5C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1F7AFA" w14:paraId="48A6A216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DC62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RO12</w:t>
            </w:r>
          </w:p>
        </w:tc>
        <w:tc>
          <w:tcPr>
            <w:tcW w:w="444" w:type="dxa"/>
          </w:tcPr>
          <w:p w14:paraId="7B9D8C5E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EDA39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Centru</w:t>
            </w:r>
          </w:p>
        </w:tc>
      </w:tr>
    </w:tbl>
    <w:p w14:paraId="3BA4F69E" w14:textId="77777777" w:rsidR="001F7AFA" w:rsidRDefault="00000000">
      <w:pPr>
        <w:spacing w:before="160" w:after="80" w:line="300" w:lineRule="auto"/>
        <w:rPr>
          <w:sz w:val="22"/>
          <w:szCs w:val="22"/>
        </w:rPr>
      </w:pPr>
      <w:r>
        <w:rPr>
          <w:sz w:val="22"/>
          <w:szCs w:val="22"/>
        </w:rPr>
        <w:t>Numele Județului/Județelor</w:t>
      </w:r>
    </w:p>
    <w:p w14:paraId="4295CFF5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Brașov</w:t>
      </w:r>
    </w:p>
    <w:p w14:paraId="0857CB90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2.4. Încadrarea ZPB în regiunile biogeografice</w:t>
      </w:r>
    </w:p>
    <w:tbl>
      <w:tblPr>
        <w:tblStyle w:val="a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28"/>
        <w:gridCol w:w="47"/>
        <w:gridCol w:w="3002"/>
        <w:gridCol w:w="47"/>
        <w:gridCol w:w="2956"/>
      </w:tblGrid>
      <w:tr w:rsidR="001F7AFA" w14:paraId="301BB7FE" w14:textId="77777777">
        <w:tc>
          <w:tcPr>
            <w:tcW w:w="2928" w:type="dxa"/>
          </w:tcPr>
          <w:p w14:paraId="2B2919D2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3"/>
                <w:id w:val="-109272504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Alpină 92.56%</w:t>
            </w:r>
          </w:p>
        </w:tc>
        <w:tc>
          <w:tcPr>
            <w:tcW w:w="47" w:type="dxa"/>
          </w:tcPr>
          <w:p w14:paraId="62D06434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6FA113B4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4"/>
                <w:id w:val="-64594920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Continentală 7.44%</w:t>
            </w:r>
          </w:p>
        </w:tc>
        <w:tc>
          <w:tcPr>
            <w:tcW w:w="47" w:type="dxa"/>
          </w:tcPr>
          <w:p w14:paraId="117DC10D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2063CF7D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5"/>
                <w:id w:val="-45794029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1F7AFA" w14:paraId="25E6B4FB" w14:textId="77777777">
        <w:tc>
          <w:tcPr>
            <w:tcW w:w="2928" w:type="dxa"/>
          </w:tcPr>
          <w:p w14:paraId="326E4CFD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6"/>
                <w:id w:val="-134634563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4C8C44D9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3C3A28DA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7"/>
                <w:id w:val="-541964556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1E3DFBE1" w14:textId="77777777" w:rsidR="001F7AFA" w:rsidRDefault="001F7AFA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4AF4A18F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8"/>
                <w:id w:val="196919262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1EB9C658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3. Descrierea Zonelor Prioritare pentru Biodiversitate distincte de</w:t>
      </w:r>
      <w:r>
        <w:rPr>
          <w:b/>
          <w:bCs/>
          <w:sz w:val="22"/>
          <w:szCs w:val="22"/>
        </w:rPr>
        <w:br/>
        <w:t xml:space="preserve"> pe teritoriul ariei naturale protejate/OECM</w:t>
      </w:r>
    </w:p>
    <w:p w14:paraId="57FAEA8B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3.1. Numărul Zonelor Prioritare pentru Biodiversitate distincte de pe teritoriul ariei naturale protejate/OECM:</w:t>
      </w:r>
    </w:p>
    <w:p w14:paraId="5004C8C3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6296BAC1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 Descrierea Zonelor Prioritare pentru Biodiversitate distincte</w:t>
      </w:r>
    </w:p>
    <w:p w14:paraId="4B8756C1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 Zona Prioritară pentru Biodiversitate  nr. 1</w:t>
      </w:r>
    </w:p>
    <w:p w14:paraId="2217FF62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3.2.1.1. Cod Zona Prioritară pentru Biodiversitate  nr. 1</w:t>
      </w:r>
    </w:p>
    <w:p w14:paraId="0DAD2134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ZPB1</w:t>
      </w:r>
    </w:p>
    <w:p w14:paraId="45DF901F" w14:textId="77777777" w:rsidR="001F7AFA" w:rsidRDefault="00000000">
      <w:pPr>
        <w:spacing w:before="240" w:after="80" w:line="30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3.2.1.2.  Detalii privind Zona Prioritară pentru Biodiversitate  nr. 1</w:t>
      </w:r>
    </w:p>
    <w:p w14:paraId="2CA8D300" w14:textId="77777777" w:rsidR="001F7AFA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Suprafața totală a ZPB (ha)</w:t>
      </w:r>
    </w:p>
    <w:p w14:paraId="63B36364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265,82</w:t>
      </w:r>
    </w:p>
    <w:p w14:paraId="73F8DC99" w14:textId="77777777" w:rsidR="001F7AFA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Documente relevante în raport cu ZPB</w:t>
      </w:r>
    </w:p>
    <w:p w14:paraId="2D33E1A7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Ordonanța de urgență a Guvernului nr. 57/2007 privind regimul ariilor naturale protejate, conservarea habitatelor naturale, a florei şi faunei sălbatice, aprobată cu modificări și completări prin Legea nr. 49/2011, cu modificarile si completarile ulterioare</w:t>
      </w:r>
    </w:p>
    <w:p w14:paraId="3A64981D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Ordinul Ministrului Mediului, Apelor și Pădurilor nr. 1066/2026 privind aprobarea Metodologiei de identificare a zonelor prioritare pentru biodiversitate.</w:t>
      </w:r>
    </w:p>
    <w:p w14:paraId="402C5F36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Ordinul ministrului mediului, apelor și pădurilor nr. 2525/2016 privind constituirea Catalogului național al pădurilor virgine și cvasivirgine din România, cu modificările și completările ulterioare; </w:t>
      </w:r>
    </w:p>
    <w:p w14:paraId="014D69D2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- Ordinul ministrului mediului, apelor și pădurilor nr. 999/2016 privind aprobarea Planului de management și a Regulamentului sitului Natura 2000 ROSPA0037 Dumbrăvița - Rotbav - Măgura Codlei</w:t>
      </w:r>
    </w:p>
    <w:p w14:paraId="11E1508B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 Decizia Comitetului Patrimoniului Mondial adoptată în cadru l celei de-a 41-a sesiuni (Cracovia, 2017) referitoare la înscrierea în Lista Patrimoniului Mondial a sitului „Păduri primare de fag din Carpați și alte regiuni ale Europei”.</w:t>
      </w:r>
    </w:p>
    <w:p w14:paraId="0BDBA145" w14:textId="77777777" w:rsidR="001F7AFA" w:rsidRDefault="00000000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Informația ecologică</w:t>
      </w:r>
    </w:p>
    <w:tbl>
      <w:tblPr>
        <w:tblStyle w:val="a6"/>
        <w:tblW w:w="8964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384"/>
        <w:gridCol w:w="5580"/>
      </w:tblGrid>
      <w:tr w:rsidR="001F7AFA" w14:paraId="469C12D3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7899" w14:textId="77777777" w:rsidR="001F7AFA" w:rsidRDefault="00000000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Informația ecologică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3AF7" w14:textId="77777777" w:rsidR="001F7AFA" w:rsidRDefault="00000000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Descriere</w:t>
            </w:r>
          </w:p>
        </w:tc>
      </w:tr>
      <w:tr w:rsidR="001F7AFA" w14:paraId="5E8E5DD9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F8E6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5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2A7B7E00" w14:textId="77777777" w:rsidR="001F7AFA" w:rsidRDefault="00000000">
            <w:pP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Habitate de păduri temperate europene:</w:t>
            </w:r>
          </w:p>
          <w:p w14:paraId="5E9D95F2" w14:textId="77777777" w:rsidR="001F7AFA" w:rsidRDefault="00000000">
            <w:pP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91V0 Păduri dacice de fag (Symphyto-Fagion) </w:t>
            </w:r>
          </w:p>
        </w:tc>
      </w:tr>
      <w:tr w:rsidR="001F7AFA" w14:paraId="1D12537A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32E1E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5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72FCF808" w14:textId="77777777" w:rsidR="001F7AFA" w:rsidRDefault="00000000">
            <w:pPr>
              <w:spacing w:after="0" w:line="30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Păsări:</w:t>
            </w:r>
          </w:p>
          <w:p w14:paraId="6DC44184" w14:textId="77777777" w:rsidR="001F7AFA" w:rsidRDefault="00000000">
            <w:pPr>
              <w:spacing w:after="0" w:line="300" w:lineRule="auto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A089 Aquila pomarina</w:t>
            </w:r>
            <w:r>
              <w:rPr>
                <w:i/>
                <w:iCs/>
                <w:sz w:val="22"/>
                <w:szCs w:val="22"/>
              </w:rPr>
              <w:br/>
              <w:t xml:space="preserve"> A239 Dendrocopos leucotos</w:t>
            </w:r>
            <w:r>
              <w:rPr>
                <w:i/>
                <w:iCs/>
                <w:sz w:val="22"/>
                <w:szCs w:val="22"/>
              </w:rPr>
              <w:br/>
              <w:t xml:space="preserve"> A236 Dryocopus martius</w:t>
            </w:r>
            <w:r>
              <w:rPr>
                <w:i/>
                <w:iCs/>
                <w:sz w:val="22"/>
                <w:szCs w:val="22"/>
              </w:rPr>
              <w:br/>
              <w:t xml:space="preserve"> A321 Ficedula albicollis</w:t>
            </w:r>
            <w:r>
              <w:rPr>
                <w:i/>
                <w:iCs/>
                <w:sz w:val="22"/>
                <w:szCs w:val="22"/>
              </w:rPr>
              <w:br/>
              <w:t xml:space="preserve"> A320 Ficedula parva</w:t>
            </w:r>
            <w:r>
              <w:rPr>
                <w:i/>
                <w:iCs/>
                <w:sz w:val="22"/>
                <w:szCs w:val="22"/>
              </w:rPr>
              <w:br/>
              <w:t xml:space="preserve"> A220 Strix uralensis</w:t>
            </w:r>
          </w:p>
        </w:tc>
      </w:tr>
      <w:tr w:rsidR="001F7AFA" w14:paraId="6A74EF6B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91FCC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C2F4" w14:textId="77777777" w:rsidR="001F7AFA" w:rsidRDefault="00000000">
            <w:pPr>
              <w:spacing w:after="0" w:line="30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Zonă de non intervenție pentru ecosistemele forestiere din tipul 1 funcțional cu păduri virgine și cvasivirgine, habitate de păduri temperate europene - </w:t>
            </w:r>
            <w:r>
              <w:rPr>
                <w:i/>
                <w:iCs/>
                <w:sz w:val="22"/>
                <w:szCs w:val="22"/>
              </w:rPr>
              <w:t>91V0 Păduri dacice de fag (Symphyto-Fagion)</w:t>
            </w:r>
            <w:r>
              <w:rPr>
                <w:sz w:val="22"/>
                <w:szCs w:val="22"/>
              </w:rPr>
              <w:t>, inclusiv seculare, precum și specii de păsări de interes comunitar</w:t>
            </w:r>
          </w:p>
        </w:tc>
      </w:tr>
      <w:tr w:rsidR="001F7AFA" w14:paraId="33DC879C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1C17A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8247B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1F7AFA" w14:paraId="5271652F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B2824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B6F6" w14:textId="2A443E11" w:rsidR="00000000" w:rsidRPr="00AD6040" w:rsidRDefault="00000000" w:rsidP="00A63662">
            <w:pPr>
              <w:rPr>
                <w:b/>
                <w:bCs/>
              </w:rPr>
            </w:pPr>
            <w:r w:rsidRPr="00AD6040">
              <w:rPr>
                <w:b/>
                <w:bCs/>
              </w:rPr>
              <w:t xml:space="preserve">Obiective și măsuri pentru habitatele forestiere </w:t>
            </w:r>
            <w:r w:rsidR="001B4B5F">
              <w:rPr>
                <w:b/>
                <w:bCs/>
              </w:rPr>
              <w:t>PVCV</w:t>
            </w:r>
            <w:r w:rsidRPr="00AD6040">
              <w:rPr>
                <w:b/>
                <w:bCs/>
              </w:rPr>
              <w:t xml:space="preserve"> – regim de non-intervenție</w:t>
            </w:r>
          </w:p>
          <w:p w14:paraId="512AB297" w14:textId="77777777" w:rsidR="00000000" w:rsidRDefault="00000000" w:rsidP="00A63662">
            <w:pPr>
              <w:spacing w:before="120" w:after="60"/>
              <w:jc w:val="both"/>
            </w:pPr>
            <w:r>
              <w:rPr>
                <w:b/>
                <w:bCs/>
                <w:color w:val="000000"/>
              </w:rPr>
              <w:t>Obiective specifice:</w:t>
            </w:r>
          </w:p>
          <w:p w14:paraId="6E121FAC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Conservarea funcționării ecologice naturale a pădurii: regenerare spontană, succesiune nealterată, mortalitate naturală a arborilor și perturbări naturale.</w:t>
            </w:r>
          </w:p>
          <w:p w14:paraId="4855FB00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Menținerea elementelor-cheie pentru biodiversitate (arbori foarte bătrâni, arbori-habitat, lemn mort, microhabitate).</w:t>
            </w:r>
          </w:p>
          <w:p w14:paraId="258B1009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Asigurarea continuității habitatelor și evitarea fragmentării lor prin infrastructură sau prin accesul necontrolat al activităților umane.</w:t>
            </w:r>
          </w:p>
          <w:p w14:paraId="62F2E55C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Limitarea deranjului produs de activitățile umane — acces motorizat, turism necontrolat și recoltări neautorizate.</w:t>
            </w:r>
          </w:p>
          <w:p w14:paraId="1B55EE30" w14:textId="77777777" w:rsidR="00000000" w:rsidRDefault="00000000" w:rsidP="00A63662">
            <w:pPr>
              <w:numPr>
                <w:ilvl w:val="0"/>
                <w:numId w:val="1"/>
              </w:numPr>
              <w:spacing w:after="60" w:line="240" w:lineRule="auto"/>
              <w:jc w:val="both"/>
            </w:pPr>
            <w:r>
              <w:t>Monitorizarea periodică a stării de conservare a habitatelor și speciilor din ZPB.</w:t>
            </w:r>
          </w:p>
          <w:p w14:paraId="4A9F7344" w14:textId="77777777" w:rsidR="00000000" w:rsidRDefault="00000000" w:rsidP="00A63662">
            <w:pPr>
              <w:spacing w:before="160" w:after="60"/>
              <w:jc w:val="both"/>
            </w:pPr>
            <w:r>
              <w:rPr>
                <w:b/>
                <w:bCs/>
                <w:color w:val="000000"/>
              </w:rPr>
              <w:t>Măsuri de conservare:</w:t>
            </w:r>
          </w:p>
          <w:p w14:paraId="6215CAA6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790C1F10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 xml:space="preserve">Păstrarea lemnului mort și a arborilor-habitat: lemnul mort (în picioare și la sol) se păstrează ca element natural al ecosistemului, iar arborii-habitat nu se extrag; îndepărtări sunt permise doar punctual, strict pentru </w:t>
            </w:r>
            <w:r>
              <w:lastRenderedPageBreak/>
              <w:t>siguranța publică (de exemplu pe trasee turistice), dar materialul se relocă, nu se scoate din ZPB.</w:t>
            </w:r>
          </w:p>
          <w:p w14:paraId="6110A411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567318BC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1888C81B" w14:textId="77777777" w:rsidR="00000000" w:rsidRDefault="00000000" w:rsidP="00A63662">
            <w:pPr>
              <w:numPr>
                <w:ilvl w:val="0"/>
                <w:numId w:val="2"/>
              </w:numPr>
              <w:spacing w:after="60" w:line="240" w:lineRule="auto"/>
              <w:jc w:val="both"/>
            </w:pPr>
            <w: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1F7AFA" w14:paraId="3BE78259" w14:textId="77777777" w:rsidTr="001B4B5F">
        <w:tc>
          <w:tcPr>
            <w:tcW w:w="3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3B0D0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2F541" w14:textId="77777777" w:rsidR="001F7AFA" w:rsidRDefault="0000000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3B8071F7" w14:textId="77777777" w:rsidR="001F7AFA" w:rsidRDefault="00000000">
      <w:pPr>
        <w:spacing w:before="240" w:after="8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3.3. Bibliografie</w:t>
      </w:r>
    </w:p>
    <w:p w14:paraId="49A0DE35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Ionescu D.T., 2002 - Contribuţii la studiul avifaunei acvatice de interes cinegetic din Depresiunea Bârsei, Teză de Doctorat, Universitatea Transilvania din Braşov.</w:t>
      </w:r>
    </w:p>
    <w:p w14:paraId="3B796A0D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Ionescu D.T., 2002 - Some aspects of the black stork (Ciconia nigra) migration in the south - east Transylvania (Romania), Acta Oecologica, vol. IX, nr. 1 - 2, Sibiu.</w:t>
      </w:r>
    </w:p>
    <w:p w14:paraId="3BE6438C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0BBA2F00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4. Consultări publice cu privire la desemnarea Zonelor Prioritare pentru Biodiversitate </w:t>
      </w:r>
    </w:p>
    <w:p w14:paraId="00A9BE03" w14:textId="77777777" w:rsidR="001F7AFA" w:rsidRDefault="00000000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Detalii privind consultările publice realizate:</w:t>
      </w:r>
    </w:p>
    <w:p w14:paraId="0AEB369C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Consultările publice  au fost realizate la: 26 septembrie 2024 – Brașov, 16-18 februarie 2026 Prefectură Brașov - jud. Brașov. </w:t>
      </w:r>
    </w:p>
    <w:p w14:paraId="7C9AB704" w14:textId="77777777" w:rsidR="001F7AFA" w:rsidRDefault="0000000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Ulterior, în cadrul procesului de consultare extins la nivel național, au avut loc consultări suplimentară online în data de 11 decembrie 2025 cu participarea factorilor interesați relevanți din județul Brașov.</w:t>
      </w:r>
    </w:p>
    <w:p w14:paraId="566C1092" w14:textId="77777777" w:rsidR="001F7AFA" w:rsidRDefault="00000000">
      <w:pPr>
        <w:spacing w:before="480" w:after="120" w:line="300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5. Harta Zonelor Prioritare pentru Biodiversitate </w:t>
      </w:r>
    </w:p>
    <w:p w14:paraId="001F0F85" w14:textId="77777777" w:rsidR="001B4B5F" w:rsidRPr="001B4B5F" w:rsidRDefault="001B4B5F" w:rsidP="001B4B5F">
      <w:pPr>
        <w:spacing w:after="0" w:line="300" w:lineRule="auto"/>
        <w:rPr>
          <w:sz w:val="22"/>
          <w:szCs w:val="22"/>
        </w:rPr>
      </w:pPr>
      <w:r w:rsidRPr="001B4B5F">
        <w:rPr>
          <w:sz w:val="22"/>
          <w:szCs w:val="22"/>
        </w:rPr>
        <w:t>Limitele Zonelor Prioritare pentru Biodiversitate sunt disponibile în format digital:</w:t>
      </w:r>
    </w:p>
    <w:p w14:paraId="0E8F6EAC" w14:textId="42A31791" w:rsidR="001F7AFA" w:rsidRDefault="001B4B5F" w:rsidP="001B4B5F">
      <w:pPr>
        <w:spacing w:after="0" w:line="300" w:lineRule="auto"/>
        <w:rPr>
          <w:sz w:val="22"/>
          <w:szCs w:val="22"/>
        </w:rPr>
      </w:pPr>
      <w:r w:rsidRPr="001B4B5F">
        <w:rPr>
          <w:sz w:val="22"/>
          <w:szCs w:val="22"/>
        </w:rPr>
        <w:t>Link: https://mmediu.ro/domenii/mediu/arii-naturale-protejate/zpb-pnrr-i-3/</w:t>
      </w:r>
    </w:p>
    <w:p w14:paraId="2F95628D" w14:textId="77777777" w:rsidR="001F7AFA" w:rsidRDefault="001F7AFA">
      <w:pPr>
        <w:spacing w:after="0" w:line="300" w:lineRule="auto"/>
        <w:rPr>
          <w:sz w:val="22"/>
          <w:szCs w:val="22"/>
        </w:rPr>
      </w:pPr>
    </w:p>
    <w:sectPr w:rsidR="001F7AFA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93C66"/>
    <w:multiLevelType w:val="multilevel"/>
    <w:tmpl w:val="C7A0F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84187965">
    <w:abstractNumId w:val="0"/>
  </w:num>
  <w:num w:numId="2" w16cid:durableId="1152210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AFA"/>
    <w:rsid w:val="001B4B5F"/>
    <w:rsid w:val="001F7AFA"/>
    <w:rsid w:val="004F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AA197D"/>
  <w15:docId w15:val="{98E1395C-FCCC-41D4-A839-840F0FF9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Xbl4OJiHx+LPcSLYGudGu4Cpn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N0U0c29oZxAIGgtBQUFCN0U0c29oZxoeCgIxMBIYChYIB0ISEhBBcmlhbCBVbmljb2RlIE1TGhsKAjExEhUKEwgEKg8KC0FBQUI3RTRzb2c4EAIaGwoCMTISFQoTCAQqDwoLQUFBQjdFNHNvZzgQAhobCgIxMxIVChMIBCoPCgtBQUFCN0U0c29nOBABIssDCgtBQUFCN0U0c29oZxKbAwoLQUFBQjdFNHNvaGcSC0FBQUI3RTRzb2hnGmIKCXRleHQvaHRtbBJVY2UgcGFkdXJlIHZpcmdpbmEgc2F1IGN2YXNpIHZpcmcgZXN0ZT8gTWFndXJhIENvZGxlaS5pbiByZXN0IGNlIHRpcCBmdW5jdGlvbmFsIGVzdGUgPyJjCgp0ZXh0L3BsYWluElVjZSBwYWR1cmUgdmlyZ2luYSBzYXUgY3Zhc2kgdmlyZyBlc3RlPyBNYWd1cmEgQ29kbGVpLmluIHJlc3QgY2UgdGlwIGZ1bmN0aW9uYWwgZXN0ZSA/KhsiFTExNzQwMzIxMzE3NzIwNDE0NjM1NigAOAAwoeql++UzOKHqpfvlM0oUCgp0ZXh0L3BsYWluEgZwZW50cnVaDHkxZmlnaHJuN2d0NnICIAB4AJoBBggAEAAYAKoBVxJVY2UgcGFkdXJlIHZpcmdpbmEgc2F1IGN2YXNpIHZpcmcgZXN0ZT8gTWFndXJhIENvZGxlaS5pbiByZXN0IGNlIHRpcCBmdW5jdGlvbmFsIGVzdGUgPxih6qX75TMgoeql++UzQhBraXgucDJ5bTZlN3NwMGprIv8DCgtBQUFCN0U0c29nOBKmAwoLQUFBQjdFNHNvZzgSC0FBQUI3RTRzb2c4Gg0KCXRleHQvaHRtbBIAIg4KCnRleHQvcGxhaW4SACpJChBBbGV4YW5kcmEgU3RvaWNhGjUvL3NzbC5nc3RhdGljLmNvbS9kb2NzL2NvbW1vbi9ibHVlX3NpbGhvdWV0dGU5Ni0wLnBuZzCA3O2A5DM4gNztgOQzSnQKJGFwcGxpY2F0aW9uL3ZuZC5nb29nbGUtYXBwcy5kb2NzLm1kcxpMwtfa5AFGCkQKGwoVUHVibGljxIMgyJlpIHByaXZhdMSDEAEYABIjCh1wdWJsaWPEgyBkZSBzdGF0IMiZaSBwcml2YXTEgxABGAAYAXJLChBBbGV4YW5kcmEgU3RvaWNhGjcKNS8vc3NsLmdzdGF0aWMuY29tL2RvY3MvY29tbW9uL2JsdWVfc2lsaG91ZXR0ZTk2LTAucG5neACCATdzdWdnZXN0SWRJbXBvcnQyYmIyMWRmZi0zNDhjLTRlZmEtYTgxNy0zNzA1MTBkZDkyN2NfMTY1iAEBmgEGCAAQABgAsAEAuAEByAEAGIDc7YDkMyCA3O2A5DMwAEI3c3VnZ2VzdElkSW1wb3J0MmJiMjFkZmYtMzQ4Yy00ZWZhLWE4MTctMzcwNTEwZGQ5MjdjXzE2NTgAaksKN3N1Z2dlc3RJZEltcG9ydDJiYjIxZGZmLTM0OGMtNGVmYS1hODE3LTM3MDUxMGRkOTI3Y18xNjUSEEFsZXhhbmRyYSBTdG9pY2FyITFKbjJFV3VVRnJxalk0N3dJbGUzZmJEbm41SFowdTlO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1065</Words>
  <Characters>6076</Characters>
  <Application>Microsoft Office Word</Application>
  <DocSecurity>0</DocSecurity>
  <Lines>50</Lines>
  <Paragraphs>14</Paragraphs>
  <ScaleCrop>false</ScaleCrop>
  <Company/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Corpade</cp:lastModifiedBy>
  <cp:revision>2</cp:revision>
  <dcterms:created xsi:type="dcterms:W3CDTF">2026-06-30T02:04:00Z</dcterms:created>
  <dcterms:modified xsi:type="dcterms:W3CDTF">2026-06-30T02:04:00Z</dcterms:modified>
</cp:coreProperties>
</file>